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702" w:rsidRDefault="00303702" w:rsidP="00EB77A8">
      <w:pPr>
        <w:framePr w:w="1608" w:h="12957" w:hRule="exact" w:hSpace="180" w:wrap="around" w:vAnchor="text" w:hAnchor="page" w:x="518" w:y="-535"/>
        <w:shd w:val="solid" w:color="FFFFFF" w:fill="FFFFFF"/>
        <w:jc w:val="center"/>
        <w:textDirection w:val="btLr"/>
        <w:rPr>
          <w:b/>
          <w:i/>
          <w:color w:val="999999"/>
          <w:sz w:val="110"/>
          <w:szCs w:val="110"/>
        </w:rPr>
      </w:pPr>
      <w:r>
        <w:rPr>
          <w:b/>
          <w:i/>
          <w:color w:val="999999"/>
          <w:sz w:val="110"/>
          <w:szCs w:val="110"/>
        </w:rPr>
        <w:t>Tisková zpráva</w:t>
      </w:r>
    </w:p>
    <w:p w:rsidR="00FA397A" w:rsidRPr="00EF5D60" w:rsidRDefault="00545A1C" w:rsidP="00EF5D60">
      <w:pPr>
        <w:autoSpaceDE w:val="0"/>
        <w:autoSpaceDN w:val="0"/>
        <w:adjustRightInd w:val="0"/>
        <w:rPr>
          <w:rFonts w:asciiTheme="minorHAnsi" w:hAnsiTheme="minorHAnsi"/>
          <w:b/>
          <w:color w:val="003772"/>
          <w:sz w:val="36"/>
          <w:szCs w:val="36"/>
        </w:rPr>
      </w:pPr>
      <w:r>
        <w:rPr>
          <w:rFonts w:asciiTheme="minorHAnsi" w:hAnsiTheme="minorHAnsi"/>
          <w:b/>
          <w:color w:val="003772"/>
          <w:sz w:val="36"/>
          <w:szCs w:val="36"/>
        </w:rPr>
        <w:t>Pražská energetika</w:t>
      </w:r>
      <w:r w:rsidR="00FA397A" w:rsidRPr="00EF5D60">
        <w:rPr>
          <w:rFonts w:asciiTheme="minorHAnsi" w:hAnsiTheme="minorHAnsi"/>
          <w:b/>
          <w:color w:val="003772"/>
          <w:sz w:val="36"/>
          <w:szCs w:val="36"/>
        </w:rPr>
        <w:t xml:space="preserve"> uvádí na trh novou </w:t>
      </w:r>
      <w:r>
        <w:rPr>
          <w:rFonts w:asciiTheme="minorHAnsi" w:hAnsiTheme="minorHAnsi"/>
          <w:b/>
          <w:color w:val="003772"/>
          <w:sz w:val="36"/>
          <w:szCs w:val="36"/>
        </w:rPr>
        <w:t>službu I</w:t>
      </w:r>
      <w:r w:rsidR="00FA397A" w:rsidRPr="00EF5D60">
        <w:rPr>
          <w:rFonts w:asciiTheme="minorHAnsi" w:hAnsiTheme="minorHAnsi"/>
          <w:b/>
          <w:color w:val="003772"/>
          <w:sz w:val="36"/>
          <w:szCs w:val="36"/>
        </w:rPr>
        <w:t>nstalac</w:t>
      </w:r>
      <w:r>
        <w:rPr>
          <w:rFonts w:asciiTheme="minorHAnsi" w:hAnsiTheme="minorHAnsi"/>
          <w:b/>
          <w:color w:val="003772"/>
          <w:sz w:val="36"/>
          <w:szCs w:val="36"/>
        </w:rPr>
        <w:t>e a servis</w:t>
      </w:r>
      <w:r w:rsidR="00FA397A" w:rsidRPr="00EF5D60">
        <w:rPr>
          <w:rFonts w:asciiTheme="minorHAnsi" w:hAnsiTheme="minorHAnsi"/>
          <w:b/>
          <w:color w:val="003772"/>
          <w:sz w:val="36"/>
          <w:szCs w:val="36"/>
        </w:rPr>
        <w:t xml:space="preserve"> </w:t>
      </w:r>
      <w:proofErr w:type="spellStart"/>
      <w:r w:rsidR="00FA397A" w:rsidRPr="00EF5D60">
        <w:rPr>
          <w:rFonts w:asciiTheme="minorHAnsi" w:hAnsiTheme="minorHAnsi"/>
          <w:b/>
          <w:color w:val="003772"/>
          <w:sz w:val="36"/>
          <w:szCs w:val="36"/>
        </w:rPr>
        <w:t>fotovoltaick</w:t>
      </w:r>
      <w:r>
        <w:rPr>
          <w:rFonts w:asciiTheme="minorHAnsi" w:hAnsiTheme="minorHAnsi"/>
          <w:b/>
          <w:color w:val="003772"/>
          <w:sz w:val="36"/>
          <w:szCs w:val="36"/>
        </w:rPr>
        <w:t>ých</w:t>
      </w:r>
      <w:proofErr w:type="spellEnd"/>
      <w:r w:rsidR="00FA397A" w:rsidRPr="00EF5D60">
        <w:rPr>
          <w:rFonts w:asciiTheme="minorHAnsi" w:hAnsiTheme="minorHAnsi"/>
          <w:b/>
          <w:color w:val="003772"/>
          <w:sz w:val="36"/>
          <w:szCs w:val="36"/>
        </w:rPr>
        <w:t xml:space="preserve"> elektrár</w:t>
      </w:r>
      <w:r>
        <w:rPr>
          <w:rFonts w:asciiTheme="minorHAnsi" w:hAnsiTheme="minorHAnsi"/>
          <w:b/>
          <w:color w:val="003772"/>
          <w:sz w:val="36"/>
          <w:szCs w:val="36"/>
        </w:rPr>
        <w:t>en</w:t>
      </w:r>
    </w:p>
    <w:p w:rsidR="00FA397A" w:rsidRPr="00EF5D60" w:rsidRDefault="00FA397A" w:rsidP="0031684C">
      <w:pPr>
        <w:autoSpaceDE w:val="0"/>
        <w:autoSpaceDN w:val="0"/>
        <w:adjustRightInd w:val="0"/>
        <w:jc w:val="both"/>
        <w:rPr>
          <w:rFonts w:asciiTheme="minorHAnsi" w:hAnsiTheme="minorHAnsi"/>
          <w:color w:val="003772"/>
          <w:sz w:val="22"/>
          <w:szCs w:val="22"/>
        </w:rPr>
      </w:pPr>
    </w:p>
    <w:p w:rsidR="00FA397A" w:rsidRPr="00EF5D60" w:rsidRDefault="00EF5D60" w:rsidP="0031684C">
      <w:pPr>
        <w:jc w:val="both"/>
        <w:rPr>
          <w:rFonts w:asciiTheme="minorHAnsi" w:hAnsiTheme="minorHAnsi"/>
          <w:b/>
          <w:sz w:val="22"/>
          <w:szCs w:val="22"/>
        </w:rPr>
      </w:pPr>
      <w:r w:rsidRPr="00EF5D60">
        <w:rPr>
          <w:rFonts w:asciiTheme="minorHAnsi" w:hAnsiTheme="minorHAnsi"/>
          <w:b/>
          <w:sz w:val="22"/>
          <w:szCs w:val="22"/>
        </w:rPr>
        <w:t>Pražská energetika</w:t>
      </w:r>
      <w:r w:rsidR="00FA397A" w:rsidRPr="00EF5D60">
        <w:rPr>
          <w:rFonts w:asciiTheme="minorHAnsi" w:hAnsiTheme="minorHAnsi"/>
          <w:b/>
          <w:sz w:val="22"/>
          <w:szCs w:val="22"/>
        </w:rPr>
        <w:t xml:space="preserve"> </w:t>
      </w:r>
      <w:r w:rsidR="0075342C">
        <w:rPr>
          <w:rFonts w:asciiTheme="minorHAnsi" w:hAnsiTheme="minorHAnsi"/>
          <w:b/>
          <w:sz w:val="22"/>
          <w:szCs w:val="22"/>
        </w:rPr>
        <w:t xml:space="preserve">(PRE) </w:t>
      </w:r>
      <w:r w:rsidR="00FA397A" w:rsidRPr="00EF5D60">
        <w:rPr>
          <w:rFonts w:asciiTheme="minorHAnsi" w:hAnsiTheme="minorHAnsi"/>
          <w:b/>
          <w:sz w:val="22"/>
          <w:szCs w:val="22"/>
        </w:rPr>
        <w:t xml:space="preserve">přichází od poloviny června s novou službou Instalace a servis </w:t>
      </w:r>
      <w:proofErr w:type="spellStart"/>
      <w:r w:rsidR="00FA397A" w:rsidRPr="00EF5D60">
        <w:rPr>
          <w:rFonts w:asciiTheme="minorHAnsi" w:hAnsiTheme="minorHAnsi"/>
          <w:b/>
          <w:sz w:val="22"/>
          <w:szCs w:val="22"/>
        </w:rPr>
        <w:t>fotovoltaických</w:t>
      </w:r>
      <w:proofErr w:type="spellEnd"/>
      <w:r w:rsidR="00FA397A" w:rsidRPr="00EF5D60">
        <w:rPr>
          <w:rFonts w:asciiTheme="minorHAnsi" w:hAnsiTheme="minorHAnsi"/>
          <w:b/>
          <w:sz w:val="22"/>
          <w:szCs w:val="22"/>
        </w:rPr>
        <w:t xml:space="preserve"> elektráren. Služba je určená primárně pro domácnosti vlastnící rodinný dům nebo chalupu, které mají zájem o solární elektrárnu s instalovaným výkonem do 10 </w:t>
      </w:r>
      <w:proofErr w:type="spellStart"/>
      <w:r w:rsidR="00FA397A" w:rsidRPr="00EF5D60">
        <w:rPr>
          <w:rFonts w:asciiTheme="minorHAnsi" w:hAnsiTheme="minorHAnsi"/>
          <w:b/>
          <w:sz w:val="22"/>
          <w:szCs w:val="22"/>
        </w:rPr>
        <w:t>kWp</w:t>
      </w:r>
      <w:proofErr w:type="spellEnd"/>
      <w:r w:rsidR="00FA397A" w:rsidRPr="00EF5D60">
        <w:rPr>
          <w:rFonts w:asciiTheme="minorHAnsi" w:hAnsiTheme="minorHAnsi"/>
          <w:b/>
          <w:sz w:val="22"/>
          <w:szCs w:val="22"/>
        </w:rPr>
        <w:t xml:space="preserve"> bez nutnosti vlastnit licenci na výrobu elektřiny. Součástí nabídky je také speciální produkt FVE, díky němuž zákazníci ušetří na dodávce e</w:t>
      </w:r>
      <w:r w:rsidR="006B7532">
        <w:rPr>
          <w:rFonts w:asciiTheme="minorHAnsi" w:hAnsiTheme="minorHAnsi"/>
          <w:b/>
          <w:sz w:val="22"/>
          <w:szCs w:val="22"/>
        </w:rPr>
        <w:t xml:space="preserve">lektřiny. Pro případné zájemce </w:t>
      </w:r>
      <w:r w:rsidR="00FA397A" w:rsidRPr="00EF5D60">
        <w:rPr>
          <w:rFonts w:asciiTheme="minorHAnsi" w:hAnsiTheme="minorHAnsi"/>
          <w:b/>
          <w:sz w:val="22"/>
          <w:szCs w:val="22"/>
        </w:rPr>
        <w:t>připravil</w:t>
      </w:r>
      <w:r w:rsidR="0075342C">
        <w:rPr>
          <w:rFonts w:asciiTheme="minorHAnsi" w:hAnsiTheme="minorHAnsi"/>
          <w:b/>
          <w:sz w:val="22"/>
          <w:szCs w:val="22"/>
        </w:rPr>
        <w:t>a PRE</w:t>
      </w:r>
      <w:r w:rsidR="00FA397A" w:rsidRPr="00EF5D60">
        <w:rPr>
          <w:rFonts w:asciiTheme="minorHAnsi" w:hAnsiTheme="minorHAnsi"/>
          <w:b/>
          <w:sz w:val="22"/>
          <w:szCs w:val="22"/>
        </w:rPr>
        <w:t xml:space="preserve"> i výhodné financování samotné výstavby.</w:t>
      </w:r>
    </w:p>
    <w:p w:rsidR="00386E1D" w:rsidRPr="00EF5D60" w:rsidRDefault="00386E1D" w:rsidP="0031684C">
      <w:pPr>
        <w:jc w:val="both"/>
        <w:rPr>
          <w:rFonts w:asciiTheme="minorHAnsi" w:hAnsiTheme="minorHAnsi"/>
          <w:sz w:val="22"/>
          <w:szCs w:val="22"/>
        </w:rPr>
      </w:pPr>
    </w:p>
    <w:p w:rsidR="00DE6D0E" w:rsidRPr="00EF5D60" w:rsidRDefault="00386E1D" w:rsidP="0031684C">
      <w:pPr>
        <w:jc w:val="both"/>
        <w:rPr>
          <w:rFonts w:asciiTheme="minorHAnsi" w:hAnsiTheme="minorHAnsi"/>
          <w:sz w:val="22"/>
          <w:szCs w:val="22"/>
        </w:rPr>
      </w:pPr>
      <w:r w:rsidRPr="00EF5D60">
        <w:rPr>
          <w:rFonts w:asciiTheme="minorHAnsi" w:hAnsiTheme="minorHAnsi"/>
          <w:b/>
          <w:sz w:val="22"/>
          <w:szCs w:val="22"/>
        </w:rPr>
        <w:t>Praha –</w:t>
      </w:r>
      <w:r w:rsidRPr="00EF5D60">
        <w:rPr>
          <w:rFonts w:asciiTheme="minorHAnsi" w:hAnsiTheme="minorHAnsi"/>
          <w:sz w:val="22"/>
          <w:szCs w:val="22"/>
        </w:rPr>
        <w:t xml:space="preserve"> </w:t>
      </w:r>
      <w:r w:rsidR="004D2B27" w:rsidRPr="00EF5D60">
        <w:rPr>
          <w:rFonts w:asciiTheme="minorHAnsi" w:hAnsiTheme="minorHAnsi"/>
          <w:sz w:val="22"/>
          <w:szCs w:val="22"/>
        </w:rPr>
        <w:t xml:space="preserve">Nová služba nabízí zákazníkům možnost postavit </w:t>
      </w:r>
      <w:proofErr w:type="spellStart"/>
      <w:r w:rsidR="004D2B27" w:rsidRPr="00EF5D60">
        <w:rPr>
          <w:rFonts w:asciiTheme="minorHAnsi" w:hAnsiTheme="minorHAnsi"/>
          <w:sz w:val="22"/>
          <w:szCs w:val="22"/>
        </w:rPr>
        <w:t>fotovoltaickou</w:t>
      </w:r>
      <w:proofErr w:type="spellEnd"/>
      <w:r w:rsidR="004D2B27" w:rsidRPr="00EF5D60">
        <w:rPr>
          <w:rFonts w:asciiTheme="minorHAnsi" w:hAnsiTheme="minorHAnsi"/>
          <w:sz w:val="22"/>
          <w:szCs w:val="22"/>
        </w:rPr>
        <w:t xml:space="preserve"> elektrárnu, díky které dos</w:t>
      </w:r>
      <w:r w:rsidR="0075342C">
        <w:rPr>
          <w:rFonts w:asciiTheme="minorHAnsi" w:hAnsiTheme="minorHAnsi"/>
          <w:sz w:val="22"/>
          <w:szCs w:val="22"/>
        </w:rPr>
        <w:t>áhnou</w:t>
      </w:r>
      <w:r w:rsidR="0031684C" w:rsidRPr="00EF5D60">
        <w:rPr>
          <w:rFonts w:asciiTheme="minorHAnsi" w:hAnsiTheme="minorHAnsi"/>
          <w:sz w:val="22"/>
          <w:szCs w:val="22"/>
        </w:rPr>
        <w:t xml:space="preserve"> úspor</w:t>
      </w:r>
      <w:r w:rsidR="0075342C">
        <w:rPr>
          <w:rFonts w:asciiTheme="minorHAnsi" w:hAnsiTheme="minorHAnsi"/>
          <w:sz w:val="22"/>
          <w:szCs w:val="22"/>
        </w:rPr>
        <w:t>y</w:t>
      </w:r>
      <w:r w:rsidR="0031684C" w:rsidRPr="00EF5D60">
        <w:rPr>
          <w:rFonts w:asciiTheme="minorHAnsi" w:hAnsiTheme="minorHAnsi"/>
          <w:sz w:val="22"/>
          <w:szCs w:val="22"/>
        </w:rPr>
        <w:t xml:space="preserve"> nákladů na energi</w:t>
      </w:r>
      <w:r w:rsidR="0075342C">
        <w:rPr>
          <w:rFonts w:asciiTheme="minorHAnsi" w:hAnsiTheme="minorHAnsi"/>
          <w:sz w:val="22"/>
          <w:szCs w:val="22"/>
        </w:rPr>
        <w:t>e</w:t>
      </w:r>
      <w:r w:rsidR="0031684C" w:rsidRPr="00EF5D60">
        <w:rPr>
          <w:rFonts w:asciiTheme="minorHAnsi" w:hAnsiTheme="minorHAnsi"/>
          <w:sz w:val="22"/>
          <w:szCs w:val="22"/>
        </w:rPr>
        <w:t xml:space="preserve"> a </w:t>
      </w:r>
      <w:r w:rsidR="00EF5D60" w:rsidRPr="00EF5D60">
        <w:rPr>
          <w:rFonts w:asciiTheme="minorHAnsi" w:hAnsiTheme="minorHAnsi"/>
          <w:sz w:val="22"/>
          <w:szCs w:val="22"/>
        </w:rPr>
        <w:t>zv</w:t>
      </w:r>
      <w:r w:rsidR="0075342C">
        <w:rPr>
          <w:rFonts w:asciiTheme="minorHAnsi" w:hAnsiTheme="minorHAnsi"/>
          <w:sz w:val="22"/>
          <w:szCs w:val="22"/>
        </w:rPr>
        <w:t>ýší</w:t>
      </w:r>
      <w:r w:rsidR="0031684C" w:rsidRPr="00EF5D60">
        <w:rPr>
          <w:rFonts w:asciiTheme="minorHAnsi" w:hAnsiTheme="minorHAnsi"/>
          <w:sz w:val="22"/>
          <w:szCs w:val="22"/>
        </w:rPr>
        <w:t xml:space="preserve"> svojí energetickou soběstačnost. Novela energetického zákona platná od 1. 1. 2016 otevřela prostor pro domácí výrobu elektřiny do 10 </w:t>
      </w:r>
      <w:proofErr w:type="spellStart"/>
      <w:r w:rsidR="00EF5D60" w:rsidRPr="00EF5D60">
        <w:rPr>
          <w:rFonts w:asciiTheme="minorHAnsi" w:hAnsiTheme="minorHAnsi"/>
          <w:sz w:val="22"/>
          <w:szCs w:val="22"/>
        </w:rPr>
        <w:t>k</w:t>
      </w:r>
      <w:r w:rsidR="0031684C" w:rsidRPr="00EF5D60">
        <w:rPr>
          <w:rFonts w:asciiTheme="minorHAnsi" w:hAnsiTheme="minorHAnsi"/>
          <w:sz w:val="22"/>
          <w:szCs w:val="22"/>
        </w:rPr>
        <w:t>Wp</w:t>
      </w:r>
      <w:proofErr w:type="spellEnd"/>
      <w:r w:rsidR="0031684C" w:rsidRPr="00EF5D60">
        <w:rPr>
          <w:rFonts w:asciiTheme="minorHAnsi" w:hAnsiTheme="minorHAnsi"/>
          <w:sz w:val="22"/>
          <w:szCs w:val="22"/>
        </w:rPr>
        <w:t xml:space="preserve"> instalovaného výkonu bez nutnosti vyřízení licence od Energetického regulačního úřadu jako oprávnění k podnikání. Proces vybudování </w:t>
      </w:r>
      <w:proofErr w:type="spellStart"/>
      <w:r w:rsidR="0031684C" w:rsidRPr="00EF5D60">
        <w:rPr>
          <w:rFonts w:asciiTheme="minorHAnsi" w:hAnsiTheme="minorHAnsi"/>
          <w:sz w:val="22"/>
          <w:szCs w:val="22"/>
        </w:rPr>
        <w:t>fotovoltaické</w:t>
      </w:r>
      <w:proofErr w:type="spellEnd"/>
      <w:r w:rsidR="0031684C" w:rsidRPr="00EF5D60">
        <w:rPr>
          <w:rFonts w:asciiTheme="minorHAnsi" w:hAnsiTheme="minorHAnsi"/>
          <w:sz w:val="22"/>
          <w:szCs w:val="22"/>
        </w:rPr>
        <w:t xml:space="preserve"> elektrárny je tudíž pro zákazníka jednodušší a výhodnější.</w:t>
      </w:r>
      <w:r w:rsidR="00EF5D60" w:rsidRPr="00EF5D60">
        <w:rPr>
          <w:rFonts w:asciiTheme="minorHAnsi" w:hAnsiTheme="minorHAnsi"/>
          <w:sz w:val="22"/>
          <w:szCs w:val="22"/>
        </w:rPr>
        <w:t xml:space="preserve"> Výhodnost podporuje také zařazení výstavby </w:t>
      </w:r>
      <w:proofErr w:type="spellStart"/>
      <w:r w:rsidR="00EF5D60" w:rsidRPr="00EF5D60">
        <w:rPr>
          <w:rFonts w:asciiTheme="minorHAnsi" w:hAnsiTheme="minorHAnsi"/>
          <w:sz w:val="22"/>
          <w:szCs w:val="22"/>
        </w:rPr>
        <w:t>fotovoltaik</w:t>
      </w:r>
      <w:proofErr w:type="spellEnd"/>
      <w:r w:rsidR="00EF5D60" w:rsidRPr="00EF5D60">
        <w:rPr>
          <w:rFonts w:asciiTheme="minorHAnsi" w:hAnsiTheme="minorHAnsi"/>
          <w:sz w:val="22"/>
          <w:szCs w:val="22"/>
        </w:rPr>
        <w:t xml:space="preserve"> do programu Nová zelená úsporám, ze kterého lze získat dotaci až 100 000 Kč.</w:t>
      </w:r>
      <w:r w:rsidR="0031684C" w:rsidRPr="00EF5D60">
        <w:rPr>
          <w:rFonts w:asciiTheme="minorHAnsi" w:hAnsiTheme="minorHAnsi"/>
          <w:sz w:val="22"/>
          <w:szCs w:val="22"/>
        </w:rPr>
        <w:t xml:space="preserve"> Na tuto skutečnost reaguje i </w:t>
      </w:r>
      <w:r w:rsidR="00EF5D60" w:rsidRPr="00EF5D60">
        <w:rPr>
          <w:rFonts w:asciiTheme="minorHAnsi" w:hAnsiTheme="minorHAnsi"/>
          <w:sz w:val="22"/>
          <w:szCs w:val="22"/>
        </w:rPr>
        <w:t>Pražská energetika</w:t>
      </w:r>
      <w:r w:rsidR="0031684C" w:rsidRPr="00EF5D60">
        <w:rPr>
          <w:rFonts w:asciiTheme="minorHAnsi" w:hAnsiTheme="minorHAnsi"/>
          <w:sz w:val="22"/>
          <w:szCs w:val="22"/>
        </w:rPr>
        <w:t xml:space="preserve"> a přichází s komplexní nabídkou určenou zákazníkům jak na území Prahy, tak i pro mimopražské.</w:t>
      </w:r>
    </w:p>
    <w:p w:rsidR="004D2B27" w:rsidRPr="00EF5D60" w:rsidRDefault="004D2B27" w:rsidP="0031684C">
      <w:pPr>
        <w:jc w:val="both"/>
        <w:rPr>
          <w:rFonts w:asciiTheme="minorHAnsi" w:hAnsiTheme="minorHAnsi"/>
          <w:sz w:val="22"/>
          <w:szCs w:val="22"/>
        </w:rPr>
      </w:pPr>
    </w:p>
    <w:p w:rsidR="00791971" w:rsidRDefault="00791971" w:rsidP="0031684C">
      <w:pPr>
        <w:jc w:val="both"/>
        <w:rPr>
          <w:rFonts w:asciiTheme="minorHAnsi" w:hAnsiTheme="minorHAnsi"/>
          <w:sz w:val="22"/>
          <w:szCs w:val="22"/>
        </w:rPr>
      </w:pPr>
      <w:r w:rsidRPr="00AE2F97">
        <w:rPr>
          <w:rFonts w:asciiTheme="minorHAnsi" w:hAnsiTheme="minorHAnsi"/>
          <w:i/>
          <w:sz w:val="22"/>
          <w:szCs w:val="22"/>
        </w:rPr>
        <w:t>„</w:t>
      </w:r>
      <w:r w:rsidR="004D2B27" w:rsidRPr="00AE2F97">
        <w:rPr>
          <w:rFonts w:asciiTheme="minorHAnsi" w:hAnsiTheme="minorHAnsi"/>
          <w:i/>
          <w:sz w:val="22"/>
          <w:szCs w:val="22"/>
        </w:rPr>
        <w:t xml:space="preserve">Díky našim dlouholetým zkušenostem s výstavbou, vybereme zákazníkovi to nejlepší řešení, poskytneme mu asistenci při vyplňování potřebné dokumentace, pomůžeme se získáním dotace z programu Nová zelená úsporám </w:t>
      </w:r>
      <w:r w:rsidRPr="00AE2F97">
        <w:rPr>
          <w:rFonts w:asciiTheme="minorHAnsi" w:hAnsiTheme="minorHAnsi"/>
          <w:i/>
          <w:sz w:val="22"/>
          <w:szCs w:val="22"/>
        </w:rPr>
        <w:t>a následně elektrárnu postavíme. Jinými slovy, naši specialisté jsou všem zákazníkům partnery od prvního kontaktu až do předání stavby s</w:t>
      </w:r>
      <w:r w:rsidR="005C2F01">
        <w:rPr>
          <w:rFonts w:asciiTheme="minorHAnsi" w:hAnsiTheme="minorHAnsi"/>
          <w:i/>
          <w:sz w:val="22"/>
          <w:szCs w:val="22"/>
        </w:rPr>
        <w:t> výstupní revizní z</w:t>
      </w:r>
      <w:r w:rsidR="00EF5D60" w:rsidRPr="00AE2F97">
        <w:rPr>
          <w:rFonts w:asciiTheme="minorHAnsi" w:hAnsiTheme="minorHAnsi"/>
          <w:i/>
          <w:sz w:val="22"/>
          <w:szCs w:val="22"/>
        </w:rPr>
        <w:t>právou na celý systém</w:t>
      </w:r>
      <w:r w:rsidRPr="00AE2F97">
        <w:rPr>
          <w:rFonts w:asciiTheme="minorHAnsi" w:hAnsiTheme="minorHAnsi"/>
          <w:i/>
          <w:sz w:val="22"/>
          <w:szCs w:val="22"/>
        </w:rPr>
        <w:t>,“</w:t>
      </w:r>
      <w:r w:rsidRPr="00EF5D60">
        <w:rPr>
          <w:rFonts w:asciiTheme="minorHAnsi" w:hAnsiTheme="minorHAnsi"/>
          <w:sz w:val="22"/>
          <w:szCs w:val="22"/>
        </w:rPr>
        <w:t xml:space="preserve"> vysvětluje </w:t>
      </w:r>
      <w:r w:rsidR="00EF5D60" w:rsidRPr="00EF5D60">
        <w:rPr>
          <w:rFonts w:asciiTheme="minorHAnsi" w:hAnsiTheme="minorHAnsi"/>
          <w:sz w:val="22"/>
          <w:szCs w:val="22"/>
        </w:rPr>
        <w:t>Petr Holubec</w:t>
      </w:r>
      <w:r w:rsidRPr="00EF5D60">
        <w:rPr>
          <w:rFonts w:asciiTheme="minorHAnsi" w:hAnsiTheme="minorHAnsi"/>
          <w:sz w:val="22"/>
          <w:szCs w:val="22"/>
        </w:rPr>
        <w:t xml:space="preserve">, </w:t>
      </w:r>
      <w:r w:rsidR="00EF5D60" w:rsidRPr="00EF5D60">
        <w:rPr>
          <w:rFonts w:asciiTheme="minorHAnsi" w:hAnsiTheme="minorHAnsi"/>
          <w:sz w:val="22"/>
          <w:szCs w:val="22"/>
        </w:rPr>
        <w:t>tiskový mluvčí Pražské energetiky</w:t>
      </w:r>
      <w:r w:rsidRPr="00EF5D60">
        <w:rPr>
          <w:rFonts w:asciiTheme="minorHAnsi" w:hAnsiTheme="minorHAnsi"/>
          <w:sz w:val="22"/>
          <w:szCs w:val="22"/>
        </w:rPr>
        <w:t xml:space="preserve">. Kromě úzké kooperace a poradenství v průběhu celé spolupráce připravila </w:t>
      </w:r>
      <w:r w:rsidR="00EF5D60" w:rsidRPr="00EF5D60">
        <w:rPr>
          <w:rFonts w:asciiTheme="minorHAnsi" w:hAnsiTheme="minorHAnsi"/>
          <w:sz w:val="22"/>
          <w:szCs w:val="22"/>
        </w:rPr>
        <w:t>Pražská energetika</w:t>
      </w:r>
      <w:r w:rsidRPr="00EF5D60">
        <w:rPr>
          <w:rFonts w:asciiTheme="minorHAnsi" w:hAnsiTheme="minorHAnsi"/>
          <w:sz w:val="22"/>
          <w:szCs w:val="22"/>
        </w:rPr>
        <w:t xml:space="preserve"> i několik služeb navíc, jejichž účelem je </w:t>
      </w:r>
      <w:r w:rsidR="0075342C">
        <w:rPr>
          <w:rFonts w:asciiTheme="minorHAnsi" w:hAnsiTheme="minorHAnsi"/>
          <w:sz w:val="22"/>
          <w:szCs w:val="22"/>
        </w:rPr>
        <w:t>zvýšit atraktivitu</w:t>
      </w:r>
      <w:r w:rsidRPr="00EF5D60">
        <w:rPr>
          <w:rFonts w:asciiTheme="minorHAnsi" w:hAnsiTheme="minorHAnsi"/>
          <w:sz w:val="22"/>
          <w:szCs w:val="22"/>
        </w:rPr>
        <w:t xml:space="preserve"> celé nabídky.</w:t>
      </w:r>
    </w:p>
    <w:p w:rsidR="00B94075" w:rsidRPr="00EF5D60" w:rsidRDefault="00B94075" w:rsidP="0031684C">
      <w:pPr>
        <w:jc w:val="both"/>
        <w:rPr>
          <w:rFonts w:asciiTheme="minorHAnsi" w:hAnsiTheme="minorHAnsi"/>
          <w:sz w:val="22"/>
          <w:szCs w:val="22"/>
        </w:rPr>
      </w:pPr>
    </w:p>
    <w:p w:rsidR="00791971" w:rsidRPr="00EF5D60" w:rsidRDefault="00791971" w:rsidP="0031684C">
      <w:pPr>
        <w:jc w:val="both"/>
        <w:rPr>
          <w:rFonts w:asciiTheme="minorHAnsi" w:hAnsiTheme="minorHAnsi"/>
          <w:sz w:val="22"/>
          <w:szCs w:val="22"/>
        </w:rPr>
      </w:pPr>
    </w:p>
    <w:p w:rsidR="004D2B27" w:rsidRPr="00EF5D60" w:rsidRDefault="00791971" w:rsidP="00EF5D60">
      <w:pPr>
        <w:rPr>
          <w:rFonts w:asciiTheme="minorHAnsi" w:hAnsiTheme="minorHAnsi"/>
          <w:b/>
          <w:sz w:val="22"/>
          <w:szCs w:val="22"/>
        </w:rPr>
      </w:pPr>
      <w:r w:rsidRPr="00EF5D60">
        <w:rPr>
          <w:rFonts w:asciiTheme="minorHAnsi" w:hAnsiTheme="minorHAnsi"/>
          <w:b/>
          <w:sz w:val="22"/>
          <w:szCs w:val="22"/>
        </w:rPr>
        <w:t>Levnější elektřin</w:t>
      </w:r>
      <w:r w:rsidR="00EF5D60" w:rsidRPr="00EF5D60">
        <w:rPr>
          <w:rFonts w:asciiTheme="minorHAnsi" w:hAnsiTheme="minorHAnsi"/>
          <w:b/>
          <w:sz w:val="22"/>
          <w:szCs w:val="22"/>
        </w:rPr>
        <w:t>a</w:t>
      </w:r>
      <w:r w:rsidRPr="00EF5D60">
        <w:rPr>
          <w:rFonts w:asciiTheme="minorHAnsi" w:hAnsiTheme="minorHAnsi"/>
          <w:b/>
          <w:sz w:val="22"/>
          <w:szCs w:val="22"/>
        </w:rPr>
        <w:t xml:space="preserve"> s produktem FVE </w:t>
      </w:r>
    </w:p>
    <w:p w:rsidR="00791971" w:rsidRDefault="00EF5D60" w:rsidP="00545A1C">
      <w:pPr>
        <w:pStyle w:val="Normlnweb"/>
        <w:jc w:val="both"/>
        <w:rPr>
          <w:rFonts w:asciiTheme="minorHAnsi" w:hAnsiTheme="minorHAnsi"/>
          <w:sz w:val="22"/>
          <w:szCs w:val="22"/>
        </w:rPr>
      </w:pPr>
      <w:r w:rsidRPr="00EF5D60">
        <w:rPr>
          <w:rFonts w:asciiTheme="minorHAnsi" w:hAnsiTheme="minorHAnsi"/>
          <w:sz w:val="22"/>
          <w:szCs w:val="22"/>
        </w:rPr>
        <w:t xml:space="preserve">Zákazník obdrží jednorázovou slevu na silové elektřině ve výši stanovené dle velikosti instalovaného výkonu FVE a dle typu instalace (FVE bez akumulace, FVE s akumulací do vody, FVE s akumulací do baterií). Tato smlouva se uzavírá na </w:t>
      </w:r>
      <w:r w:rsidR="0075342C">
        <w:rPr>
          <w:rFonts w:asciiTheme="minorHAnsi" w:hAnsiTheme="minorHAnsi"/>
          <w:sz w:val="22"/>
          <w:szCs w:val="22"/>
        </w:rPr>
        <w:t>tři</w:t>
      </w:r>
      <w:r w:rsidRPr="00EF5D60">
        <w:rPr>
          <w:rFonts w:asciiTheme="minorHAnsi" w:hAnsiTheme="minorHAnsi"/>
          <w:sz w:val="22"/>
          <w:szCs w:val="22"/>
        </w:rPr>
        <w:t xml:space="preserve"> roky a jednorázová sleva je vyplacena hned na začátku v plné výši za celou dobu kontraktu.</w:t>
      </w:r>
    </w:p>
    <w:p w:rsidR="00B94075" w:rsidRPr="00EF5D60" w:rsidRDefault="00B94075" w:rsidP="00545A1C">
      <w:pPr>
        <w:pStyle w:val="Normlnweb"/>
        <w:jc w:val="both"/>
        <w:rPr>
          <w:rFonts w:asciiTheme="minorHAnsi" w:hAnsiTheme="minorHAnsi"/>
          <w:sz w:val="22"/>
          <w:szCs w:val="22"/>
        </w:rPr>
      </w:pPr>
    </w:p>
    <w:p w:rsidR="00791971" w:rsidRPr="00EF5D60" w:rsidRDefault="005F505E" w:rsidP="0031684C">
      <w:pPr>
        <w:jc w:val="both"/>
        <w:rPr>
          <w:rFonts w:asciiTheme="minorHAnsi" w:hAnsiTheme="minorHAnsi"/>
          <w:b/>
          <w:sz w:val="22"/>
          <w:szCs w:val="22"/>
        </w:rPr>
      </w:pPr>
      <w:r>
        <w:rPr>
          <w:rFonts w:asciiTheme="minorHAnsi" w:hAnsiTheme="minorHAnsi"/>
          <w:b/>
          <w:sz w:val="22"/>
          <w:szCs w:val="22"/>
        </w:rPr>
        <w:t>Financování výstavby od PRE</w:t>
      </w:r>
    </w:p>
    <w:p w:rsidR="00791971" w:rsidRDefault="00791971" w:rsidP="0031684C">
      <w:pPr>
        <w:jc w:val="both"/>
        <w:rPr>
          <w:rFonts w:asciiTheme="minorHAnsi" w:hAnsiTheme="minorHAnsi"/>
          <w:sz w:val="22"/>
          <w:szCs w:val="22"/>
        </w:rPr>
      </w:pPr>
    </w:p>
    <w:p w:rsidR="00F65372" w:rsidRPr="00F65372" w:rsidRDefault="00F65372" w:rsidP="00F65372">
      <w:pPr>
        <w:jc w:val="both"/>
        <w:rPr>
          <w:rFonts w:asciiTheme="minorHAnsi" w:hAnsiTheme="minorHAnsi"/>
          <w:sz w:val="22"/>
          <w:szCs w:val="22"/>
        </w:rPr>
      </w:pPr>
      <w:r w:rsidRPr="00F65372">
        <w:rPr>
          <w:rFonts w:asciiTheme="minorHAnsi" w:hAnsiTheme="minorHAnsi"/>
          <w:sz w:val="22"/>
          <w:szCs w:val="22"/>
        </w:rPr>
        <w:t xml:space="preserve">Pražská energetika nabízí financování investic formou tzv. odložené fakturace, kdy lze dohodnout různou dobu splatnosti od </w:t>
      </w:r>
      <w:r w:rsidR="0075342C">
        <w:rPr>
          <w:rFonts w:asciiTheme="minorHAnsi" w:hAnsiTheme="minorHAnsi"/>
          <w:sz w:val="22"/>
          <w:szCs w:val="22"/>
        </w:rPr>
        <w:t>tří</w:t>
      </w:r>
      <w:r w:rsidR="00185DD9">
        <w:rPr>
          <w:rFonts w:asciiTheme="minorHAnsi" w:hAnsiTheme="minorHAnsi"/>
          <w:sz w:val="22"/>
          <w:szCs w:val="22"/>
        </w:rPr>
        <w:t xml:space="preserve"> </w:t>
      </w:r>
      <w:r w:rsidRPr="00F65372">
        <w:rPr>
          <w:rFonts w:asciiTheme="minorHAnsi" w:hAnsiTheme="minorHAnsi"/>
          <w:sz w:val="22"/>
          <w:szCs w:val="22"/>
        </w:rPr>
        <w:t xml:space="preserve">a více let. Na začátku financování je vystavena faktura, která obsahuje „splátkový kalendář“, kde je fixně zadána dohodnutá měsíční, čtvrtletní nebo roční splátka. Výhodou financování od Pražské energetiky je, že technologie je od začátku v majetku zákazníka, investici je možné kdykoliv splatit během splácení bez </w:t>
      </w:r>
      <w:r w:rsidRPr="00F65372">
        <w:rPr>
          <w:rFonts w:asciiTheme="minorHAnsi" w:hAnsiTheme="minorHAnsi"/>
          <w:sz w:val="22"/>
          <w:szCs w:val="22"/>
        </w:rPr>
        <w:lastRenderedPageBreak/>
        <w:t xml:space="preserve">jakýchkoliv sankcí. Financování lze také nastavit na </w:t>
      </w:r>
      <w:bookmarkStart w:id="0" w:name="_GoBack"/>
      <w:bookmarkEnd w:id="0"/>
      <w:r w:rsidR="0075342C">
        <w:rPr>
          <w:rFonts w:asciiTheme="minorHAnsi" w:hAnsiTheme="minorHAnsi"/>
          <w:sz w:val="22"/>
          <w:szCs w:val="22"/>
        </w:rPr>
        <w:t>jeden</w:t>
      </w:r>
      <w:r w:rsidRPr="00F65372">
        <w:rPr>
          <w:rFonts w:asciiTheme="minorHAnsi" w:hAnsiTheme="minorHAnsi"/>
          <w:sz w:val="22"/>
          <w:szCs w:val="22"/>
        </w:rPr>
        <w:t xml:space="preserve"> rok bezúročně při zaplacení 50% akontace, tzn. zákazník ve výsledku </w:t>
      </w:r>
      <w:proofErr w:type="gramStart"/>
      <w:r w:rsidRPr="00F65372">
        <w:rPr>
          <w:rFonts w:asciiTheme="minorHAnsi" w:hAnsiTheme="minorHAnsi"/>
          <w:sz w:val="22"/>
          <w:szCs w:val="22"/>
        </w:rPr>
        <w:t>nezaplatí</w:t>
      </w:r>
      <w:proofErr w:type="gramEnd"/>
      <w:r w:rsidRPr="00F65372">
        <w:rPr>
          <w:rFonts w:asciiTheme="minorHAnsi" w:hAnsiTheme="minorHAnsi"/>
          <w:sz w:val="22"/>
          <w:szCs w:val="22"/>
        </w:rPr>
        <w:t xml:space="preserve"> ani o korunu více oproti vyfakturované ceně díla.</w:t>
      </w:r>
    </w:p>
    <w:p w:rsidR="00EF78BD" w:rsidRDefault="00EF78BD" w:rsidP="00856C3C">
      <w:pPr>
        <w:jc w:val="both"/>
        <w:rPr>
          <w:rFonts w:asciiTheme="minorHAnsi" w:hAnsiTheme="minorHAnsi"/>
          <w:sz w:val="22"/>
          <w:szCs w:val="22"/>
        </w:rPr>
      </w:pPr>
    </w:p>
    <w:p w:rsidR="00EF78BD" w:rsidRPr="00545A1C" w:rsidRDefault="00EF78BD" w:rsidP="00856C3C">
      <w:pPr>
        <w:jc w:val="both"/>
        <w:rPr>
          <w:rFonts w:asciiTheme="minorHAnsi" w:hAnsiTheme="minorHAnsi"/>
          <w:b/>
          <w:sz w:val="22"/>
          <w:szCs w:val="22"/>
        </w:rPr>
      </w:pPr>
      <w:r w:rsidRPr="00545A1C">
        <w:rPr>
          <w:rFonts w:asciiTheme="minorHAnsi" w:hAnsiTheme="minorHAnsi"/>
          <w:b/>
          <w:sz w:val="22"/>
          <w:szCs w:val="22"/>
        </w:rPr>
        <w:t xml:space="preserve">Veškeré informace o instalaci </w:t>
      </w:r>
      <w:proofErr w:type="spellStart"/>
      <w:r w:rsidRPr="00545A1C">
        <w:rPr>
          <w:rFonts w:asciiTheme="minorHAnsi" w:hAnsiTheme="minorHAnsi"/>
          <w:b/>
          <w:sz w:val="22"/>
          <w:szCs w:val="22"/>
        </w:rPr>
        <w:t>fotovoltaických</w:t>
      </w:r>
      <w:proofErr w:type="spellEnd"/>
      <w:r w:rsidRPr="00545A1C">
        <w:rPr>
          <w:rFonts w:asciiTheme="minorHAnsi" w:hAnsiTheme="minorHAnsi"/>
          <w:b/>
          <w:sz w:val="22"/>
          <w:szCs w:val="22"/>
        </w:rPr>
        <w:t xml:space="preserve"> el</w:t>
      </w:r>
      <w:r w:rsidR="00AE2F97">
        <w:rPr>
          <w:rFonts w:asciiTheme="minorHAnsi" w:hAnsiTheme="minorHAnsi"/>
          <w:b/>
          <w:sz w:val="22"/>
          <w:szCs w:val="22"/>
        </w:rPr>
        <w:t>ektráren a souvisejících produkt</w:t>
      </w:r>
      <w:r w:rsidRPr="00545A1C">
        <w:rPr>
          <w:rFonts w:asciiTheme="minorHAnsi" w:hAnsiTheme="minorHAnsi"/>
          <w:b/>
          <w:sz w:val="22"/>
          <w:szCs w:val="22"/>
        </w:rPr>
        <w:t xml:space="preserve">ech a službách naleznete na </w:t>
      </w:r>
      <w:hyperlink r:id="rId8" w:history="1">
        <w:r w:rsidRPr="00545A1C">
          <w:rPr>
            <w:rStyle w:val="Hypertextovodkaz"/>
            <w:rFonts w:asciiTheme="minorHAnsi" w:hAnsiTheme="minorHAnsi"/>
            <w:b/>
            <w:sz w:val="22"/>
            <w:szCs w:val="22"/>
          </w:rPr>
          <w:t>www.premereni.cz/fotovoltaika</w:t>
        </w:r>
      </w:hyperlink>
      <w:r w:rsidR="00545A1C" w:rsidRPr="00545A1C">
        <w:rPr>
          <w:rFonts w:asciiTheme="minorHAnsi" w:hAnsiTheme="minorHAnsi"/>
          <w:b/>
          <w:sz w:val="22"/>
          <w:szCs w:val="22"/>
        </w:rPr>
        <w:t>.</w:t>
      </w:r>
      <w:r w:rsidRPr="00545A1C">
        <w:rPr>
          <w:rFonts w:asciiTheme="minorHAnsi" w:hAnsiTheme="minorHAnsi"/>
          <w:b/>
          <w:sz w:val="22"/>
          <w:szCs w:val="22"/>
        </w:rPr>
        <w:t xml:space="preserve"> </w:t>
      </w:r>
    </w:p>
    <w:p w:rsidR="00FA397A" w:rsidRPr="00FA397A" w:rsidRDefault="00FA397A" w:rsidP="0031684C">
      <w:pPr>
        <w:autoSpaceDE w:val="0"/>
        <w:autoSpaceDN w:val="0"/>
        <w:adjustRightInd w:val="0"/>
        <w:jc w:val="both"/>
        <w:rPr>
          <w:rFonts w:asciiTheme="minorHAnsi" w:hAnsiTheme="minorHAnsi"/>
          <w:color w:val="000000"/>
          <w:sz w:val="22"/>
          <w:szCs w:val="22"/>
        </w:rPr>
      </w:pPr>
    </w:p>
    <w:p w:rsidR="00FA397A" w:rsidRDefault="00FA397A" w:rsidP="0031684C">
      <w:pPr>
        <w:tabs>
          <w:tab w:val="left" w:pos="0"/>
        </w:tabs>
        <w:jc w:val="both"/>
        <w:rPr>
          <w:rFonts w:asciiTheme="minorHAnsi" w:hAnsiTheme="minorHAnsi" w:cs="Arial"/>
          <w:b/>
          <w:i/>
          <w:sz w:val="22"/>
          <w:szCs w:val="22"/>
          <w:u w:val="single"/>
        </w:rPr>
      </w:pPr>
    </w:p>
    <w:p w:rsidR="00545A1C" w:rsidRDefault="00545A1C" w:rsidP="0031684C">
      <w:pPr>
        <w:tabs>
          <w:tab w:val="left" w:pos="0"/>
        </w:tabs>
        <w:jc w:val="both"/>
        <w:rPr>
          <w:rFonts w:asciiTheme="minorHAnsi" w:hAnsiTheme="minorHAnsi" w:cs="Arial"/>
          <w:b/>
          <w:i/>
          <w:sz w:val="22"/>
          <w:szCs w:val="22"/>
          <w:u w:val="single"/>
        </w:rPr>
      </w:pPr>
    </w:p>
    <w:p w:rsidR="00545A1C" w:rsidRDefault="00545A1C" w:rsidP="0031684C">
      <w:pPr>
        <w:tabs>
          <w:tab w:val="left" w:pos="0"/>
        </w:tabs>
        <w:jc w:val="both"/>
        <w:rPr>
          <w:rFonts w:asciiTheme="minorHAnsi" w:hAnsiTheme="minorHAnsi" w:cs="Arial"/>
          <w:b/>
          <w:i/>
          <w:sz w:val="22"/>
          <w:szCs w:val="22"/>
          <w:u w:val="single"/>
        </w:rPr>
      </w:pPr>
    </w:p>
    <w:p w:rsidR="00FA397A" w:rsidRPr="00FA397A" w:rsidRDefault="00FA397A" w:rsidP="0031684C">
      <w:pPr>
        <w:tabs>
          <w:tab w:val="left" w:pos="0"/>
        </w:tabs>
        <w:jc w:val="both"/>
        <w:rPr>
          <w:rFonts w:asciiTheme="minorHAnsi" w:hAnsiTheme="minorHAnsi" w:cs="Arial"/>
          <w:b/>
          <w:i/>
          <w:sz w:val="22"/>
          <w:szCs w:val="22"/>
          <w:u w:val="single"/>
        </w:rPr>
      </w:pPr>
    </w:p>
    <w:p w:rsidR="00FA397A" w:rsidRPr="00FA397A" w:rsidRDefault="00FA397A" w:rsidP="0031684C">
      <w:pPr>
        <w:tabs>
          <w:tab w:val="left" w:pos="0"/>
        </w:tabs>
        <w:jc w:val="both"/>
        <w:rPr>
          <w:rFonts w:asciiTheme="minorHAnsi" w:hAnsiTheme="minorHAnsi" w:cs="Arial"/>
          <w:b/>
          <w:i/>
          <w:sz w:val="22"/>
          <w:szCs w:val="22"/>
          <w:u w:val="single"/>
        </w:rPr>
      </w:pPr>
      <w:r w:rsidRPr="00FA397A">
        <w:rPr>
          <w:rFonts w:asciiTheme="minorHAnsi" w:hAnsiTheme="minorHAnsi" w:cs="Arial"/>
          <w:b/>
          <w:i/>
          <w:sz w:val="22"/>
          <w:szCs w:val="22"/>
          <w:u w:val="single"/>
        </w:rPr>
        <w:t>Skupinu PRE tvoří mateřská společnost Pražská energetika, a. s.,</w:t>
      </w:r>
    </w:p>
    <w:p w:rsidR="00FA397A" w:rsidRPr="00FA397A" w:rsidRDefault="00FA397A" w:rsidP="0031684C">
      <w:pPr>
        <w:tabs>
          <w:tab w:val="left" w:pos="0"/>
        </w:tabs>
        <w:jc w:val="both"/>
        <w:rPr>
          <w:rFonts w:asciiTheme="minorHAnsi" w:hAnsiTheme="minorHAnsi" w:cs="Arial"/>
          <w:b/>
          <w:i/>
          <w:sz w:val="22"/>
          <w:szCs w:val="22"/>
        </w:rPr>
      </w:pPr>
      <w:r w:rsidRPr="00FA397A">
        <w:rPr>
          <w:rFonts w:asciiTheme="minorHAnsi" w:hAnsiTheme="minorHAnsi" w:cs="Arial"/>
          <w:b/>
          <w:i/>
          <w:sz w:val="22"/>
          <w:szCs w:val="22"/>
        </w:rPr>
        <w:t xml:space="preserve">která je prostřednictvím dceřiné společnosti </w:t>
      </w:r>
      <w:proofErr w:type="spellStart"/>
      <w:r w:rsidRPr="00FA397A">
        <w:rPr>
          <w:rFonts w:asciiTheme="minorHAnsi" w:hAnsiTheme="minorHAnsi" w:cs="Arial"/>
          <w:b/>
          <w:i/>
          <w:sz w:val="22"/>
          <w:szCs w:val="22"/>
        </w:rPr>
        <w:t>PREdistribuce</w:t>
      </w:r>
      <w:proofErr w:type="spellEnd"/>
      <w:r w:rsidRPr="00FA397A">
        <w:rPr>
          <w:rFonts w:asciiTheme="minorHAnsi" w:hAnsiTheme="minorHAnsi" w:cs="Arial"/>
          <w:b/>
          <w:i/>
          <w:sz w:val="22"/>
          <w:szCs w:val="22"/>
        </w:rPr>
        <w:t xml:space="preserve">, a. s., regionální provozovatel distribuční soustavy, působící na území hlavního města Prahy a města Roztoky. Současně je Pražská energetika, a. s., významný obchodník s elektřinou na velkoobchodním trhu v ČR. S postupným otevíráním trhu s elektřinou pro konečné zákazníky je Skupina PRE jedním z největších dodavatelů elektřiny s působností na celém území České republiky. Prodává ji téměř sedmi stům tisícům odběratelů. </w:t>
      </w:r>
    </w:p>
    <w:p w:rsidR="00FA397A" w:rsidRPr="00FA397A" w:rsidRDefault="00FA397A" w:rsidP="0031684C">
      <w:pPr>
        <w:tabs>
          <w:tab w:val="left" w:pos="0"/>
          <w:tab w:val="left" w:pos="360"/>
        </w:tabs>
        <w:jc w:val="both"/>
        <w:rPr>
          <w:rFonts w:asciiTheme="minorHAnsi" w:hAnsiTheme="minorHAnsi" w:cs="Arial"/>
          <w:b/>
          <w:i/>
          <w:sz w:val="22"/>
          <w:szCs w:val="22"/>
        </w:rPr>
      </w:pPr>
      <w:r w:rsidRPr="00FA397A">
        <w:rPr>
          <w:rFonts w:asciiTheme="minorHAnsi" w:hAnsiTheme="minorHAnsi" w:cs="Arial"/>
          <w:b/>
          <w:i/>
          <w:sz w:val="22"/>
          <w:szCs w:val="22"/>
        </w:rPr>
        <w:t>Historie pražské energetiky sahá až do roku 1897, kdy ještě v rámci Elektrických podniků královského hlavního města Prahy byly položeny základy pražské veřejné elektroenergetické sítě. Po mnoha vlastnických a organizačních změnách vznikla k 1. 1. 1994 akciová společnost. Ta se od svého založení postupně přeměnila na zákaznicky orientovanou společnost v oblasti obchodování, prodeje a distribuce elektřiny.</w:t>
      </w:r>
    </w:p>
    <w:p w:rsidR="00FA397A" w:rsidRPr="00FA397A" w:rsidRDefault="00FA397A" w:rsidP="0031684C">
      <w:pPr>
        <w:tabs>
          <w:tab w:val="left" w:pos="0"/>
          <w:tab w:val="left" w:pos="360"/>
        </w:tabs>
        <w:jc w:val="both"/>
        <w:rPr>
          <w:rFonts w:asciiTheme="minorHAnsi" w:hAnsiTheme="minorHAnsi" w:cs="Arial"/>
          <w:b/>
          <w:i/>
          <w:sz w:val="22"/>
          <w:szCs w:val="22"/>
        </w:rPr>
      </w:pPr>
      <w:r w:rsidRPr="00FA397A">
        <w:rPr>
          <w:rFonts w:asciiTheme="minorHAnsi" w:hAnsiTheme="minorHAnsi" w:cs="Arial"/>
          <w:b/>
          <w:i/>
          <w:sz w:val="22"/>
          <w:szCs w:val="22"/>
        </w:rPr>
        <w:t xml:space="preserve"> </w:t>
      </w:r>
    </w:p>
    <w:p w:rsidR="00FA397A" w:rsidRPr="00FA397A" w:rsidRDefault="00FA397A" w:rsidP="0031684C">
      <w:pPr>
        <w:tabs>
          <w:tab w:val="left" w:pos="0"/>
          <w:tab w:val="left" w:pos="360"/>
        </w:tabs>
        <w:jc w:val="both"/>
        <w:rPr>
          <w:rFonts w:asciiTheme="minorHAnsi" w:hAnsiTheme="minorHAnsi" w:cs="Arial"/>
          <w:b/>
          <w:sz w:val="22"/>
          <w:szCs w:val="22"/>
        </w:rPr>
      </w:pPr>
      <w:r w:rsidRPr="00FA397A">
        <w:rPr>
          <w:rFonts w:asciiTheme="minorHAnsi" w:hAnsiTheme="minorHAnsi" w:cs="Arial"/>
          <w:b/>
          <w:sz w:val="22"/>
          <w:szCs w:val="22"/>
        </w:rPr>
        <w:t xml:space="preserve">Další informace naleznete na www.pre.cz </w:t>
      </w:r>
    </w:p>
    <w:p w:rsidR="00303702" w:rsidRPr="00FA397A" w:rsidRDefault="00303702" w:rsidP="0031684C">
      <w:pPr>
        <w:jc w:val="both"/>
        <w:rPr>
          <w:rFonts w:asciiTheme="minorHAnsi" w:hAnsiTheme="minorHAnsi" w:cs="Arial"/>
          <w:b/>
          <w:sz w:val="22"/>
          <w:szCs w:val="22"/>
        </w:rPr>
      </w:pPr>
    </w:p>
    <w:sectPr w:rsidR="00303702" w:rsidRPr="00FA397A">
      <w:headerReference w:type="default" r:id="rId9"/>
      <w:footerReference w:type="default" r:id="rId10"/>
      <w:pgSz w:w="11906" w:h="16838"/>
      <w:pgMar w:top="25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C3D" w:rsidRDefault="00CE6C3D">
      <w:r>
        <w:separator/>
      </w:r>
    </w:p>
  </w:endnote>
  <w:endnote w:type="continuationSeparator" w:id="0">
    <w:p w:rsidR="00CE6C3D" w:rsidRDefault="00CE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75" w:rsidRDefault="007C632A">
    <w:pPr>
      <w:pStyle w:val="Zpat"/>
      <w:tabs>
        <w:tab w:val="clear" w:pos="4536"/>
      </w:tabs>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110490</wp:posOffset>
              </wp:positionV>
              <wp:extent cx="5715000" cy="0"/>
              <wp:effectExtent l="9525" t="5715" r="9525"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0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V7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yqZpCqL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"/>
          </w:pict>
        </mc:Fallback>
      </mc:AlternateContent>
    </w:r>
  </w:p>
  <w:p w:rsidR="00D81A75" w:rsidRDefault="00D81A75">
    <w:pPr>
      <w:pStyle w:val="Zpat"/>
      <w:tabs>
        <w:tab w:val="clear" w:pos="4536"/>
        <w:tab w:val="clear" w:pos="9072"/>
        <w:tab w:val="left" w:pos="3060"/>
        <w:tab w:val="right" w:pos="8460"/>
      </w:tabs>
      <w:jc w:val="center"/>
    </w:pPr>
    <w:r>
      <w:t>Mgr. Petr Holubec</w:t>
    </w:r>
    <w:r>
      <w:tab/>
      <w:t>Na Hroudě 1492/4</w:t>
    </w:r>
    <w:r>
      <w:tab/>
      <w:t>tel.: 267 051 102</w:t>
    </w:r>
  </w:p>
  <w:p w:rsidR="00D81A75" w:rsidRDefault="00D81A75">
    <w:pPr>
      <w:pStyle w:val="Zpat"/>
      <w:tabs>
        <w:tab w:val="clear" w:pos="4536"/>
        <w:tab w:val="clear" w:pos="9072"/>
        <w:tab w:val="left" w:pos="3060"/>
        <w:tab w:val="right" w:pos="8460"/>
      </w:tabs>
      <w:jc w:val="center"/>
    </w:pPr>
    <w:r>
      <w:t>tiskový mluvčí,</w:t>
    </w:r>
    <w:r>
      <w:tab/>
      <w:t>100 05 Praha 10</w:t>
    </w:r>
    <w:r>
      <w:tab/>
      <w:t>fax: 267 051 177</w:t>
    </w:r>
  </w:p>
  <w:p w:rsidR="00D81A75" w:rsidRDefault="00D81A75">
    <w:pPr>
      <w:pStyle w:val="Zpat"/>
      <w:tabs>
        <w:tab w:val="clear" w:pos="4536"/>
        <w:tab w:val="clear" w:pos="9072"/>
        <w:tab w:val="left" w:pos="3060"/>
        <w:tab w:val="right" w:pos="8460"/>
      </w:tabs>
      <w:jc w:val="center"/>
    </w:pPr>
    <w:r>
      <w:t>vedoucí Public relations</w:t>
    </w:r>
    <w:r>
      <w:tab/>
      <w:t>E-mail: petr.holubec@pre.cz</w:t>
    </w:r>
    <w:r>
      <w:tab/>
      <w:t>mobil: 602 265 790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C3D" w:rsidRDefault="00CE6C3D">
      <w:r>
        <w:separator/>
      </w:r>
    </w:p>
  </w:footnote>
  <w:footnote w:type="continuationSeparator" w:id="0">
    <w:p w:rsidR="00CE6C3D" w:rsidRDefault="00CE6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75" w:rsidRDefault="007C632A">
    <w:pPr>
      <w:pStyle w:val="Zhlav"/>
      <w:tabs>
        <w:tab w:val="clear" w:pos="4536"/>
        <w:tab w:val="center" w:pos="3780"/>
      </w:tabs>
      <w:rPr>
        <w:b/>
        <w:i/>
        <w:sz w:val="32"/>
        <w:szCs w:val="32"/>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711200</wp:posOffset>
              </wp:positionV>
              <wp:extent cx="5715000" cy="0"/>
              <wp:effectExtent l="9525" t="6350" r="952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0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"/>
          </w:pict>
        </mc:Fallback>
      </mc:AlternateContent>
    </w:r>
    <w:r>
      <w:rPr>
        <w:noProof/>
      </w:rPr>
      <w:drawing>
        <wp:inline distT="0" distB="0" distL="0" distR="0">
          <wp:extent cx="1143000" cy="628650"/>
          <wp:effectExtent l="0" t="0" r="0" b="0"/>
          <wp:docPr id="1" name="obrázek 1" descr="PRE-nové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nové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r w:rsidR="00D81A75">
      <w:tab/>
    </w:r>
    <w:r w:rsidR="00D81A75">
      <w:rPr>
        <w:b/>
        <w:i/>
        <w:sz w:val="32"/>
        <w:szCs w:val="32"/>
      </w:rPr>
      <w:t>Pražská energetika, a.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46B24"/>
    <w:multiLevelType w:val="multilevel"/>
    <w:tmpl w:val="1AA2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E8"/>
    <w:rsid w:val="000069F5"/>
    <w:rsid w:val="000151CF"/>
    <w:rsid w:val="00044B02"/>
    <w:rsid w:val="0004501C"/>
    <w:rsid w:val="0005666D"/>
    <w:rsid w:val="00060B49"/>
    <w:rsid w:val="00080708"/>
    <w:rsid w:val="000832CD"/>
    <w:rsid w:val="00091B46"/>
    <w:rsid w:val="0009361E"/>
    <w:rsid w:val="000C11F9"/>
    <w:rsid w:val="000C5150"/>
    <w:rsid w:val="000D67A5"/>
    <w:rsid w:val="000F5698"/>
    <w:rsid w:val="000F6850"/>
    <w:rsid w:val="00110378"/>
    <w:rsid w:val="00110B49"/>
    <w:rsid w:val="001218AC"/>
    <w:rsid w:val="00152173"/>
    <w:rsid w:val="00157CC6"/>
    <w:rsid w:val="001602F2"/>
    <w:rsid w:val="0017490A"/>
    <w:rsid w:val="00174F84"/>
    <w:rsid w:val="00185DD9"/>
    <w:rsid w:val="001C07FE"/>
    <w:rsid w:val="001D4DC8"/>
    <w:rsid w:val="001F4F3B"/>
    <w:rsid w:val="002111E0"/>
    <w:rsid w:val="002159E8"/>
    <w:rsid w:val="002366EC"/>
    <w:rsid w:val="002372A2"/>
    <w:rsid w:val="00247E41"/>
    <w:rsid w:val="00271CF1"/>
    <w:rsid w:val="002B311D"/>
    <w:rsid w:val="002C0AE7"/>
    <w:rsid w:val="00300802"/>
    <w:rsid w:val="00301E0D"/>
    <w:rsid w:val="00303702"/>
    <w:rsid w:val="003053DA"/>
    <w:rsid w:val="0031684C"/>
    <w:rsid w:val="003252CB"/>
    <w:rsid w:val="00330311"/>
    <w:rsid w:val="00341BE1"/>
    <w:rsid w:val="00341C13"/>
    <w:rsid w:val="003547FE"/>
    <w:rsid w:val="003627D2"/>
    <w:rsid w:val="00377A7F"/>
    <w:rsid w:val="0038555C"/>
    <w:rsid w:val="00386E1D"/>
    <w:rsid w:val="0039338B"/>
    <w:rsid w:val="00394E1B"/>
    <w:rsid w:val="0040148B"/>
    <w:rsid w:val="00435D8C"/>
    <w:rsid w:val="0043764F"/>
    <w:rsid w:val="00452AAD"/>
    <w:rsid w:val="004A606E"/>
    <w:rsid w:val="004B787E"/>
    <w:rsid w:val="004C165B"/>
    <w:rsid w:val="004D2B27"/>
    <w:rsid w:val="004E072E"/>
    <w:rsid w:val="004E0A1A"/>
    <w:rsid w:val="00517A98"/>
    <w:rsid w:val="00535C0D"/>
    <w:rsid w:val="00545A1C"/>
    <w:rsid w:val="00556F49"/>
    <w:rsid w:val="00557177"/>
    <w:rsid w:val="00576F15"/>
    <w:rsid w:val="00582A3E"/>
    <w:rsid w:val="005863D9"/>
    <w:rsid w:val="005B75DD"/>
    <w:rsid w:val="005C2F01"/>
    <w:rsid w:val="005C34CD"/>
    <w:rsid w:val="005C7FA5"/>
    <w:rsid w:val="005E701F"/>
    <w:rsid w:val="005F505E"/>
    <w:rsid w:val="006164B2"/>
    <w:rsid w:val="00652977"/>
    <w:rsid w:val="006743DC"/>
    <w:rsid w:val="006B7532"/>
    <w:rsid w:val="006D6686"/>
    <w:rsid w:val="006F55F7"/>
    <w:rsid w:val="00723268"/>
    <w:rsid w:val="0075342C"/>
    <w:rsid w:val="00767F98"/>
    <w:rsid w:val="007724FB"/>
    <w:rsid w:val="00791971"/>
    <w:rsid w:val="00792F66"/>
    <w:rsid w:val="007C632A"/>
    <w:rsid w:val="007D2DE8"/>
    <w:rsid w:val="007D7F00"/>
    <w:rsid w:val="00800F8B"/>
    <w:rsid w:val="0082296E"/>
    <w:rsid w:val="0084648F"/>
    <w:rsid w:val="00855359"/>
    <w:rsid w:val="00856C3C"/>
    <w:rsid w:val="00881601"/>
    <w:rsid w:val="00891789"/>
    <w:rsid w:val="009528A4"/>
    <w:rsid w:val="00973111"/>
    <w:rsid w:val="009A1386"/>
    <w:rsid w:val="009A21B0"/>
    <w:rsid w:val="009C19F4"/>
    <w:rsid w:val="009C2245"/>
    <w:rsid w:val="009D101F"/>
    <w:rsid w:val="009F21DB"/>
    <w:rsid w:val="00A6075A"/>
    <w:rsid w:val="00A808C5"/>
    <w:rsid w:val="00AB41CA"/>
    <w:rsid w:val="00AB6F4A"/>
    <w:rsid w:val="00AC02AD"/>
    <w:rsid w:val="00AE1BB4"/>
    <w:rsid w:val="00AE2F97"/>
    <w:rsid w:val="00AF643B"/>
    <w:rsid w:val="00B0182B"/>
    <w:rsid w:val="00B15E1C"/>
    <w:rsid w:val="00B17E49"/>
    <w:rsid w:val="00B37F64"/>
    <w:rsid w:val="00B45C6E"/>
    <w:rsid w:val="00B502CF"/>
    <w:rsid w:val="00B64353"/>
    <w:rsid w:val="00B661CD"/>
    <w:rsid w:val="00B715E4"/>
    <w:rsid w:val="00B73717"/>
    <w:rsid w:val="00B77A10"/>
    <w:rsid w:val="00B81DD2"/>
    <w:rsid w:val="00B84F89"/>
    <w:rsid w:val="00B94075"/>
    <w:rsid w:val="00B9745F"/>
    <w:rsid w:val="00BA21DC"/>
    <w:rsid w:val="00BB24F3"/>
    <w:rsid w:val="00BB5350"/>
    <w:rsid w:val="00BB5D36"/>
    <w:rsid w:val="00BC23EE"/>
    <w:rsid w:val="00BF4877"/>
    <w:rsid w:val="00C07190"/>
    <w:rsid w:val="00C10B5D"/>
    <w:rsid w:val="00C14A84"/>
    <w:rsid w:val="00C2585E"/>
    <w:rsid w:val="00C4588A"/>
    <w:rsid w:val="00C46750"/>
    <w:rsid w:val="00C475BE"/>
    <w:rsid w:val="00C515DF"/>
    <w:rsid w:val="00C545F6"/>
    <w:rsid w:val="00C62410"/>
    <w:rsid w:val="00C71A05"/>
    <w:rsid w:val="00C71F53"/>
    <w:rsid w:val="00C74097"/>
    <w:rsid w:val="00C975EB"/>
    <w:rsid w:val="00CB4DE3"/>
    <w:rsid w:val="00CC65EB"/>
    <w:rsid w:val="00CD34F0"/>
    <w:rsid w:val="00CD6EDA"/>
    <w:rsid w:val="00CE3B10"/>
    <w:rsid w:val="00CE6C3D"/>
    <w:rsid w:val="00CF145D"/>
    <w:rsid w:val="00D053EB"/>
    <w:rsid w:val="00D0602E"/>
    <w:rsid w:val="00D20C5C"/>
    <w:rsid w:val="00D404E3"/>
    <w:rsid w:val="00D6552E"/>
    <w:rsid w:val="00D6649C"/>
    <w:rsid w:val="00D81A75"/>
    <w:rsid w:val="00DB2C83"/>
    <w:rsid w:val="00DB5590"/>
    <w:rsid w:val="00DB7429"/>
    <w:rsid w:val="00DD0221"/>
    <w:rsid w:val="00DD5F30"/>
    <w:rsid w:val="00DE5628"/>
    <w:rsid w:val="00DE6D0E"/>
    <w:rsid w:val="00DE71E4"/>
    <w:rsid w:val="00DF2B1A"/>
    <w:rsid w:val="00DF318F"/>
    <w:rsid w:val="00E262B0"/>
    <w:rsid w:val="00E364E3"/>
    <w:rsid w:val="00E36BA9"/>
    <w:rsid w:val="00E375CA"/>
    <w:rsid w:val="00E5045B"/>
    <w:rsid w:val="00E66F81"/>
    <w:rsid w:val="00E821F4"/>
    <w:rsid w:val="00EA66BA"/>
    <w:rsid w:val="00EB77A8"/>
    <w:rsid w:val="00ED2897"/>
    <w:rsid w:val="00EE451F"/>
    <w:rsid w:val="00EF5D60"/>
    <w:rsid w:val="00EF78BD"/>
    <w:rsid w:val="00F02919"/>
    <w:rsid w:val="00F04019"/>
    <w:rsid w:val="00F102C5"/>
    <w:rsid w:val="00F1568E"/>
    <w:rsid w:val="00F15A93"/>
    <w:rsid w:val="00F2456C"/>
    <w:rsid w:val="00F41A0C"/>
    <w:rsid w:val="00F43BEA"/>
    <w:rsid w:val="00F456B5"/>
    <w:rsid w:val="00F54608"/>
    <w:rsid w:val="00F62E2D"/>
    <w:rsid w:val="00F65372"/>
    <w:rsid w:val="00F747EB"/>
    <w:rsid w:val="00F8626C"/>
    <w:rsid w:val="00FA397A"/>
    <w:rsid w:val="00FB01A8"/>
    <w:rsid w:val="00FD334C"/>
    <w:rsid w:val="00FD3EBA"/>
    <w:rsid w:val="00FE30C7"/>
    <w:rsid w:val="00FF2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B45C6E"/>
    <w:pPr>
      <w:keepNext/>
      <w:jc w:val="both"/>
      <w:outlineLvl w:val="0"/>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Hlavnnadpis">
    <w:name w:val="Hlavní nadpis"/>
    <w:basedOn w:val="Normln"/>
    <w:next w:val="Podnapis"/>
    <w:pPr>
      <w:spacing w:before="120" w:after="120"/>
    </w:pPr>
    <w:rPr>
      <w:b/>
      <w:i/>
      <w:sz w:val="32"/>
    </w:rPr>
  </w:style>
  <w:style w:type="paragraph" w:customStyle="1" w:styleId="Podnapis">
    <w:name w:val="Podnapis"/>
    <w:basedOn w:val="Normln"/>
    <w:next w:val="Textklasicky"/>
    <w:pPr>
      <w:spacing w:before="120" w:after="120"/>
      <w:jc w:val="both"/>
    </w:pPr>
    <w:rPr>
      <w:b/>
    </w:rPr>
  </w:style>
  <w:style w:type="paragraph" w:customStyle="1" w:styleId="Textklasicky">
    <w:name w:val="Text klasicky"/>
    <w:basedOn w:val="Hlavnnadpis"/>
    <w:pPr>
      <w:spacing w:before="240" w:after="240"/>
      <w:jc w:val="both"/>
    </w:pPr>
    <w:rPr>
      <w:b w:val="0"/>
      <w:i w:val="0"/>
      <w:sz w:val="24"/>
    </w:rPr>
  </w:style>
  <w:style w:type="character" w:styleId="Hypertextovodkaz">
    <w:name w:val="Hyperlink"/>
    <w:rPr>
      <w:color w:val="0000FF"/>
      <w:u w:val="single"/>
    </w:rPr>
  </w:style>
  <w:style w:type="paragraph" w:styleId="Textbubliny">
    <w:name w:val="Balloon Text"/>
    <w:basedOn w:val="Normln"/>
    <w:semiHidden/>
    <w:rsid w:val="002159E8"/>
    <w:rPr>
      <w:rFonts w:ascii="Tahoma" w:hAnsi="Tahoma" w:cs="Tahoma"/>
      <w:sz w:val="16"/>
      <w:szCs w:val="16"/>
    </w:rPr>
  </w:style>
  <w:style w:type="character" w:styleId="Odkaznakoment">
    <w:name w:val="annotation reference"/>
    <w:semiHidden/>
    <w:rsid w:val="00582A3E"/>
    <w:rPr>
      <w:sz w:val="16"/>
      <w:szCs w:val="16"/>
    </w:rPr>
  </w:style>
  <w:style w:type="paragraph" w:styleId="Textkomente">
    <w:name w:val="annotation text"/>
    <w:basedOn w:val="Normln"/>
    <w:semiHidden/>
    <w:rsid w:val="00582A3E"/>
    <w:rPr>
      <w:sz w:val="20"/>
      <w:szCs w:val="20"/>
    </w:rPr>
  </w:style>
  <w:style w:type="paragraph" w:styleId="Pedmtkomente">
    <w:name w:val="annotation subject"/>
    <w:basedOn w:val="Textkomente"/>
    <w:next w:val="Textkomente"/>
    <w:semiHidden/>
    <w:rsid w:val="00FB01A8"/>
    <w:rPr>
      <w:b/>
      <w:bCs/>
    </w:rPr>
  </w:style>
  <w:style w:type="paragraph" w:styleId="Normlnweb">
    <w:name w:val="Normal (Web)"/>
    <w:basedOn w:val="Normln"/>
    <w:uiPriority w:val="99"/>
    <w:rsid w:val="00C975EB"/>
    <w:pPr>
      <w:spacing w:before="100" w:beforeAutospacing="1" w:after="100" w:afterAutospacing="1"/>
    </w:pPr>
  </w:style>
  <w:style w:type="paragraph" w:styleId="Bezmezer">
    <w:name w:val="No Spacing"/>
    <w:uiPriority w:val="1"/>
    <w:qFormat/>
    <w:rsid w:val="00EF5D60"/>
    <w:rPr>
      <w:sz w:val="24"/>
      <w:szCs w:val="24"/>
    </w:rPr>
  </w:style>
  <w:style w:type="character" w:styleId="Sledovanodkaz">
    <w:name w:val="FollowedHyperlink"/>
    <w:basedOn w:val="Standardnpsmoodstavce"/>
    <w:uiPriority w:val="99"/>
    <w:semiHidden/>
    <w:unhideWhenUsed/>
    <w:rsid w:val="00EF78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rsid w:val="00B45C6E"/>
    <w:pPr>
      <w:keepNext/>
      <w:jc w:val="both"/>
      <w:outlineLvl w:val="0"/>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Hlavnnadpis">
    <w:name w:val="Hlavní nadpis"/>
    <w:basedOn w:val="Normln"/>
    <w:next w:val="Podnapis"/>
    <w:pPr>
      <w:spacing w:before="120" w:after="120"/>
    </w:pPr>
    <w:rPr>
      <w:b/>
      <w:i/>
      <w:sz w:val="32"/>
    </w:rPr>
  </w:style>
  <w:style w:type="paragraph" w:customStyle="1" w:styleId="Podnapis">
    <w:name w:val="Podnapis"/>
    <w:basedOn w:val="Normln"/>
    <w:next w:val="Textklasicky"/>
    <w:pPr>
      <w:spacing w:before="120" w:after="120"/>
      <w:jc w:val="both"/>
    </w:pPr>
    <w:rPr>
      <w:b/>
    </w:rPr>
  </w:style>
  <w:style w:type="paragraph" w:customStyle="1" w:styleId="Textklasicky">
    <w:name w:val="Text klasicky"/>
    <w:basedOn w:val="Hlavnnadpis"/>
    <w:pPr>
      <w:spacing w:before="240" w:after="240"/>
      <w:jc w:val="both"/>
    </w:pPr>
    <w:rPr>
      <w:b w:val="0"/>
      <w:i w:val="0"/>
      <w:sz w:val="24"/>
    </w:rPr>
  </w:style>
  <w:style w:type="character" w:styleId="Hypertextovodkaz">
    <w:name w:val="Hyperlink"/>
    <w:rPr>
      <w:color w:val="0000FF"/>
      <w:u w:val="single"/>
    </w:rPr>
  </w:style>
  <w:style w:type="paragraph" w:styleId="Textbubliny">
    <w:name w:val="Balloon Text"/>
    <w:basedOn w:val="Normln"/>
    <w:semiHidden/>
    <w:rsid w:val="002159E8"/>
    <w:rPr>
      <w:rFonts w:ascii="Tahoma" w:hAnsi="Tahoma" w:cs="Tahoma"/>
      <w:sz w:val="16"/>
      <w:szCs w:val="16"/>
    </w:rPr>
  </w:style>
  <w:style w:type="character" w:styleId="Odkaznakoment">
    <w:name w:val="annotation reference"/>
    <w:semiHidden/>
    <w:rsid w:val="00582A3E"/>
    <w:rPr>
      <w:sz w:val="16"/>
      <w:szCs w:val="16"/>
    </w:rPr>
  </w:style>
  <w:style w:type="paragraph" w:styleId="Textkomente">
    <w:name w:val="annotation text"/>
    <w:basedOn w:val="Normln"/>
    <w:semiHidden/>
    <w:rsid w:val="00582A3E"/>
    <w:rPr>
      <w:sz w:val="20"/>
      <w:szCs w:val="20"/>
    </w:rPr>
  </w:style>
  <w:style w:type="paragraph" w:styleId="Pedmtkomente">
    <w:name w:val="annotation subject"/>
    <w:basedOn w:val="Textkomente"/>
    <w:next w:val="Textkomente"/>
    <w:semiHidden/>
    <w:rsid w:val="00FB01A8"/>
    <w:rPr>
      <w:b/>
      <w:bCs/>
    </w:rPr>
  </w:style>
  <w:style w:type="paragraph" w:styleId="Normlnweb">
    <w:name w:val="Normal (Web)"/>
    <w:basedOn w:val="Normln"/>
    <w:uiPriority w:val="99"/>
    <w:rsid w:val="00C975EB"/>
    <w:pPr>
      <w:spacing w:before="100" w:beforeAutospacing="1" w:after="100" w:afterAutospacing="1"/>
    </w:pPr>
  </w:style>
  <w:style w:type="paragraph" w:styleId="Bezmezer">
    <w:name w:val="No Spacing"/>
    <w:uiPriority w:val="1"/>
    <w:qFormat/>
    <w:rsid w:val="00EF5D60"/>
    <w:rPr>
      <w:sz w:val="24"/>
      <w:szCs w:val="24"/>
    </w:rPr>
  </w:style>
  <w:style w:type="character" w:styleId="Sledovanodkaz">
    <w:name w:val="FollowedHyperlink"/>
    <w:basedOn w:val="Standardnpsmoodstavce"/>
    <w:uiPriority w:val="99"/>
    <w:semiHidden/>
    <w:unhideWhenUsed/>
    <w:rsid w:val="00EF78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805374">
      <w:bodyDiv w:val="1"/>
      <w:marLeft w:val="0"/>
      <w:marRight w:val="0"/>
      <w:marTop w:val="0"/>
      <w:marBottom w:val="0"/>
      <w:divBdr>
        <w:top w:val="none" w:sz="0" w:space="0" w:color="auto"/>
        <w:left w:val="none" w:sz="0" w:space="0" w:color="auto"/>
        <w:bottom w:val="none" w:sz="0" w:space="0" w:color="auto"/>
        <w:right w:val="none" w:sz="0" w:space="0" w:color="auto"/>
      </w:divBdr>
    </w:div>
    <w:div w:id="1186555424">
      <w:bodyDiv w:val="1"/>
      <w:marLeft w:val="0"/>
      <w:marRight w:val="0"/>
      <w:marTop w:val="0"/>
      <w:marBottom w:val="0"/>
      <w:divBdr>
        <w:top w:val="none" w:sz="0" w:space="0" w:color="auto"/>
        <w:left w:val="none" w:sz="0" w:space="0" w:color="auto"/>
        <w:bottom w:val="none" w:sz="0" w:space="0" w:color="auto"/>
        <w:right w:val="none" w:sz="0" w:space="0" w:color="auto"/>
      </w:divBdr>
    </w:div>
    <w:div w:id="1255280050">
      <w:bodyDiv w:val="1"/>
      <w:marLeft w:val="0"/>
      <w:marRight w:val="0"/>
      <w:marTop w:val="0"/>
      <w:marBottom w:val="0"/>
      <w:divBdr>
        <w:top w:val="none" w:sz="0" w:space="0" w:color="auto"/>
        <w:left w:val="none" w:sz="0" w:space="0" w:color="auto"/>
        <w:bottom w:val="none" w:sz="0" w:space="0" w:color="auto"/>
        <w:right w:val="none" w:sz="0" w:space="0" w:color="auto"/>
      </w:divBdr>
    </w:div>
    <w:div w:id="1864131182">
      <w:bodyDiv w:val="1"/>
      <w:marLeft w:val="0"/>
      <w:marRight w:val="0"/>
      <w:marTop w:val="0"/>
      <w:marBottom w:val="0"/>
      <w:divBdr>
        <w:top w:val="none" w:sz="0" w:space="0" w:color="auto"/>
        <w:left w:val="none" w:sz="0" w:space="0" w:color="auto"/>
        <w:bottom w:val="none" w:sz="0" w:space="0" w:color="auto"/>
        <w:right w:val="none" w:sz="0" w:space="0" w:color="auto"/>
      </w:divBdr>
    </w:div>
    <w:div w:id="1974669967">
      <w:bodyDiv w:val="1"/>
      <w:marLeft w:val="0"/>
      <w:marRight w:val="0"/>
      <w:marTop w:val="0"/>
      <w:marBottom w:val="0"/>
      <w:divBdr>
        <w:top w:val="none" w:sz="0" w:space="0" w:color="auto"/>
        <w:left w:val="none" w:sz="0" w:space="0" w:color="auto"/>
        <w:bottom w:val="none" w:sz="0" w:space="0" w:color="auto"/>
        <w:right w:val="none" w:sz="0" w:space="0" w:color="auto"/>
      </w:divBdr>
    </w:div>
    <w:div w:id="21108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mereni.cz/fotovoltaik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3582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Tisková zpráva</vt:lpstr>
    </vt:vector>
  </TitlesOfParts>
  <Company>vscht</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vc</dc:creator>
  <cp:lastModifiedBy>Kloz Miloslav, Bc.</cp:lastModifiedBy>
  <cp:revision>7</cp:revision>
  <cp:lastPrinted>2016-06-06T11:02:00Z</cp:lastPrinted>
  <dcterms:created xsi:type="dcterms:W3CDTF">2016-06-08T11:54:00Z</dcterms:created>
  <dcterms:modified xsi:type="dcterms:W3CDTF">2016-06-14T10:18:00Z</dcterms:modified>
</cp:coreProperties>
</file>